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87" w:rsidRDefault="00594692" w:rsidP="00594692">
      <w:pPr>
        <w:jc w:val="center"/>
        <w:rPr>
          <w:rtl/>
          <w:lang w:bidi="ar-JO"/>
        </w:rPr>
      </w:pPr>
      <w:bookmarkStart w:id="0" w:name="_GoBack"/>
      <w:bookmarkEnd w:id="0"/>
      <w:r w:rsidRPr="00594692">
        <w:rPr>
          <w:rFonts w:asciiTheme="majorBidi" w:hAnsiTheme="majorBidi" w:cs="Simplified Arabic"/>
          <w:b/>
          <w:bCs/>
          <w:noProof/>
          <w:sz w:val="32"/>
          <w:szCs w:val="32"/>
          <w:rtl/>
        </w:rPr>
        <w:drawing>
          <wp:inline distT="0" distB="0" distL="0" distR="0" wp14:anchorId="1F28CD61" wp14:editId="7B5BB8EF">
            <wp:extent cx="719042" cy="800100"/>
            <wp:effectExtent l="19050" t="0" r="4858" b="0"/>
            <wp:docPr id="1" name="Picture 0" descr="Jord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an_coat_of_arms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69" cy="8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92" w:rsidRPr="00594692" w:rsidRDefault="00594692" w:rsidP="00594692">
      <w:pPr>
        <w:jc w:val="center"/>
        <w:rPr>
          <w:b/>
          <w:bCs/>
          <w:sz w:val="32"/>
          <w:szCs w:val="32"/>
          <w:rtl/>
          <w:lang w:bidi="ar-JO"/>
        </w:rPr>
      </w:pPr>
      <w:r w:rsidRPr="00594692">
        <w:rPr>
          <w:rFonts w:hint="cs"/>
          <w:b/>
          <w:bCs/>
          <w:sz w:val="32"/>
          <w:szCs w:val="32"/>
          <w:rtl/>
          <w:lang w:bidi="ar-JO"/>
        </w:rPr>
        <w:t xml:space="preserve">سلطة اقليم البترا التنموي السياحي </w:t>
      </w:r>
    </w:p>
    <w:p w:rsidR="00594692" w:rsidRDefault="00594692" w:rsidP="00594692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594692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نموذج استدراج عروض </w:t>
      </w:r>
    </w:p>
    <w:p w:rsidR="00594692" w:rsidRDefault="00594692" w:rsidP="00594692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السا</w:t>
      </w:r>
      <w:r w:rsidR="00351DC4">
        <w:rPr>
          <w:rFonts w:hint="cs"/>
          <w:sz w:val="32"/>
          <w:szCs w:val="32"/>
          <w:rtl/>
          <w:lang w:bidi="ar-JO"/>
        </w:rPr>
        <w:t>ده/..........................................................................المحترمين</w:t>
      </w:r>
    </w:p>
    <w:p w:rsidR="00351DC4" w:rsidRPr="00E96267" w:rsidRDefault="00351DC4" w:rsidP="00BB6F4F">
      <w:pPr>
        <w:jc w:val="both"/>
        <w:rPr>
          <w:sz w:val="28"/>
          <w:szCs w:val="28"/>
          <w:rtl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>ترغب</w:t>
      </w:r>
      <w:r w:rsidR="00ED6D14" w:rsidRPr="00E96267">
        <w:rPr>
          <w:rFonts w:hint="cs"/>
          <w:sz w:val="28"/>
          <w:szCs w:val="28"/>
          <w:rtl/>
          <w:lang w:bidi="ar-JO"/>
        </w:rPr>
        <w:t xml:space="preserve"> سلطة اقليم البترا التنموي السياحي</w:t>
      </w:r>
      <w:r w:rsidRPr="00E96267">
        <w:rPr>
          <w:rFonts w:hint="cs"/>
          <w:sz w:val="28"/>
          <w:szCs w:val="28"/>
          <w:rtl/>
          <w:lang w:bidi="ar-JO"/>
        </w:rPr>
        <w:t xml:space="preserve"> بتشغيل سيارة لنقل الادلاء السياحيين من خلال المسار المحدد وهو دوار ابو عليقه الطريق الخلفي الى مركز الزوار،</w:t>
      </w:r>
      <w:r w:rsidR="00ED6D14" w:rsidRPr="00E96267">
        <w:rPr>
          <w:rFonts w:hint="cs"/>
          <w:sz w:val="28"/>
          <w:szCs w:val="28"/>
          <w:rtl/>
          <w:lang w:bidi="ar-JO"/>
        </w:rPr>
        <w:t xml:space="preserve">على الراغبين بالاشتراك في هذه المناقصة مراجعة سلطة اقليم البترا النموي السياحي اعتبارا من يوم </w:t>
      </w:r>
      <w:r w:rsidR="00BB6F4F">
        <w:rPr>
          <w:rFonts w:hint="cs"/>
          <w:sz w:val="28"/>
          <w:szCs w:val="28"/>
          <w:rtl/>
          <w:lang w:bidi="ar-JO"/>
        </w:rPr>
        <w:t>الخميس</w:t>
      </w:r>
      <w:r w:rsidR="00ED6D14" w:rsidRPr="00E96267">
        <w:rPr>
          <w:rFonts w:hint="cs"/>
          <w:sz w:val="28"/>
          <w:szCs w:val="28"/>
          <w:rtl/>
          <w:lang w:bidi="ar-JO"/>
        </w:rPr>
        <w:t xml:space="preserve"> الموافق </w:t>
      </w:r>
      <w:r w:rsidR="00BB6F4F">
        <w:rPr>
          <w:rFonts w:hint="cs"/>
          <w:sz w:val="28"/>
          <w:szCs w:val="28"/>
          <w:rtl/>
          <w:lang w:bidi="ar-JO"/>
        </w:rPr>
        <w:t>4</w:t>
      </w:r>
      <w:r w:rsidR="00ED6D14" w:rsidRPr="00E96267">
        <w:rPr>
          <w:rFonts w:hint="cs"/>
          <w:sz w:val="28"/>
          <w:szCs w:val="28"/>
          <w:rtl/>
          <w:lang w:bidi="ar-JO"/>
        </w:rPr>
        <w:t>/5/2017</w:t>
      </w:r>
      <w:r w:rsidRPr="00E96267">
        <w:rPr>
          <w:rFonts w:hint="cs"/>
          <w:sz w:val="28"/>
          <w:szCs w:val="28"/>
          <w:rtl/>
          <w:lang w:bidi="ar-JO"/>
        </w:rPr>
        <w:t xml:space="preserve"> </w:t>
      </w:r>
      <w:r w:rsidR="00260312" w:rsidRPr="00E96267">
        <w:rPr>
          <w:rFonts w:hint="cs"/>
          <w:sz w:val="28"/>
          <w:szCs w:val="28"/>
          <w:rtl/>
          <w:lang w:bidi="ar-JO"/>
        </w:rPr>
        <w:t>ووفق</w:t>
      </w:r>
      <w:r w:rsidR="00ED6D14" w:rsidRPr="00E96267">
        <w:rPr>
          <w:rFonts w:hint="cs"/>
          <w:sz w:val="28"/>
          <w:szCs w:val="28"/>
          <w:rtl/>
          <w:lang w:bidi="ar-JO"/>
        </w:rPr>
        <w:t>ا</w:t>
      </w:r>
      <w:r w:rsidR="00260312" w:rsidRPr="00E96267">
        <w:rPr>
          <w:rFonts w:hint="cs"/>
          <w:sz w:val="28"/>
          <w:szCs w:val="28"/>
          <w:rtl/>
          <w:lang w:bidi="ar-JO"/>
        </w:rPr>
        <w:t xml:space="preserve"> الشروط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6"/>
        <w:gridCol w:w="3031"/>
        <w:gridCol w:w="2243"/>
        <w:gridCol w:w="2694"/>
      </w:tblGrid>
      <w:tr w:rsidR="00260312" w:rsidTr="0086072B">
        <w:tc>
          <w:tcPr>
            <w:tcW w:w="446" w:type="dxa"/>
          </w:tcPr>
          <w:p w:rsidR="00260312" w:rsidRPr="00260312" w:rsidRDefault="00260312" w:rsidP="0026031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603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3031" w:type="dxa"/>
          </w:tcPr>
          <w:p w:rsidR="00260312" w:rsidRPr="00260312" w:rsidRDefault="00260312" w:rsidP="0026031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603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الوصف</w:t>
            </w:r>
          </w:p>
        </w:tc>
        <w:tc>
          <w:tcPr>
            <w:tcW w:w="2243" w:type="dxa"/>
          </w:tcPr>
          <w:p w:rsidR="00260312" w:rsidRPr="00260312" w:rsidRDefault="0086072B" w:rsidP="0026031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الأجرة المقرره التي يتقاضاها المناقص عن كل دليل</w:t>
            </w:r>
          </w:p>
        </w:tc>
        <w:tc>
          <w:tcPr>
            <w:tcW w:w="2694" w:type="dxa"/>
          </w:tcPr>
          <w:p w:rsidR="00260312" w:rsidRPr="00260312" w:rsidRDefault="00260312" w:rsidP="0026031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603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حصة السلطة مقطوع عن سنة كاملة</w:t>
            </w:r>
          </w:p>
        </w:tc>
      </w:tr>
      <w:tr w:rsidR="00260312" w:rsidTr="0086072B">
        <w:tc>
          <w:tcPr>
            <w:tcW w:w="446" w:type="dxa"/>
          </w:tcPr>
          <w:p w:rsidR="00260312" w:rsidRDefault="00260312" w:rsidP="00351DC4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3031" w:type="dxa"/>
          </w:tcPr>
          <w:p w:rsidR="00260312" w:rsidRDefault="00ED6D14" w:rsidP="00AC5A0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سيارة بك اب دبل كاب</w:t>
            </w:r>
            <w:r w:rsidR="00260312">
              <w:rPr>
                <w:rFonts w:hint="cs"/>
                <w:sz w:val="32"/>
                <w:szCs w:val="32"/>
                <w:rtl/>
                <w:lang w:bidi="ar-JO"/>
              </w:rPr>
              <w:t xml:space="preserve">ين  </w:t>
            </w:r>
          </w:p>
          <w:p w:rsidR="00AC5A0B" w:rsidRDefault="00AC5A0B" w:rsidP="00AC5A0B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243" w:type="dxa"/>
          </w:tcPr>
          <w:p w:rsidR="00260312" w:rsidRDefault="00260312" w:rsidP="00E96267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 دنانير</w:t>
            </w:r>
          </w:p>
        </w:tc>
        <w:tc>
          <w:tcPr>
            <w:tcW w:w="2694" w:type="dxa"/>
          </w:tcPr>
          <w:p w:rsidR="00260312" w:rsidRDefault="00260312" w:rsidP="00351DC4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260312" w:rsidTr="0086072B">
        <w:tc>
          <w:tcPr>
            <w:tcW w:w="5720" w:type="dxa"/>
            <w:gridSpan w:val="3"/>
          </w:tcPr>
          <w:p w:rsidR="00260312" w:rsidRPr="00260312" w:rsidRDefault="00260312" w:rsidP="00260312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2603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المجم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ــ</w:t>
            </w:r>
            <w:r w:rsidRPr="0026031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وع</w:t>
            </w:r>
          </w:p>
        </w:tc>
        <w:tc>
          <w:tcPr>
            <w:tcW w:w="2694" w:type="dxa"/>
          </w:tcPr>
          <w:p w:rsidR="00260312" w:rsidRDefault="00260312" w:rsidP="00351DC4">
            <w:pPr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260312" w:rsidRPr="00E96267" w:rsidRDefault="00197783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 xml:space="preserve">أخر موعد لقبول العروض الساعة (الثانية عشره) من يوم </w:t>
      </w:r>
      <w:r w:rsidR="00BB6F4F">
        <w:rPr>
          <w:rFonts w:hint="cs"/>
          <w:sz w:val="28"/>
          <w:szCs w:val="28"/>
          <w:rtl/>
          <w:lang w:bidi="ar-JO"/>
        </w:rPr>
        <w:t>الاربعاء</w:t>
      </w:r>
      <w:r w:rsidRPr="00E96267">
        <w:rPr>
          <w:rFonts w:hint="cs"/>
          <w:sz w:val="28"/>
          <w:szCs w:val="28"/>
          <w:rtl/>
          <w:lang w:bidi="ar-JO"/>
        </w:rPr>
        <w:t xml:space="preserve"> الموافق </w:t>
      </w:r>
      <w:r w:rsidR="00BB6F4F">
        <w:rPr>
          <w:rFonts w:hint="cs"/>
          <w:sz w:val="28"/>
          <w:szCs w:val="28"/>
          <w:rtl/>
          <w:lang w:bidi="ar-JO"/>
        </w:rPr>
        <w:t>10</w:t>
      </w:r>
      <w:r w:rsidRPr="00E96267">
        <w:rPr>
          <w:rFonts w:hint="cs"/>
          <w:sz w:val="28"/>
          <w:szCs w:val="28"/>
          <w:rtl/>
          <w:lang w:bidi="ar-JO"/>
        </w:rPr>
        <w:t>/5/2017 وتوضع في ظرف مغلق في صندوق العطاءات في مبنى السلطة الرئيسي.</w:t>
      </w:r>
    </w:p>
    <w:p w:rsidR="00ED6D14" w:rsidRPr="00E96267" w:rsidRDefault="00ED6D14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>وضع العائد السنوي</w:t>
      </w:r>
      <w:r w:rsidR="008408F1">
        <w:rPr>
          <w:rFonts w:hint="cs"/>
          <w:sz w:val="28"/>
          <w:szCs w:val="28"/>
          <w:rtl/>
          <w:lang w:bidi="ar-JO"/>
        </w:rPr>
        <w:t xml:space="preserve"> للسلطة</w:t>
      </w:r>
      <w:r w:rsidRPr="00E96267">
        <w:rPr>
          <w:rFonts w:hint="cs"/>
          <w:sz w:val="28"/>
          <w:szCs w:val="28"/>
          <w:rtl/>
          <w:lang w:bidi="ar-JO"/>
        </w:rPr>
        <w:t xml:space="preserve"> وبمبلغ مقطوع يتم توريد للسلطة على دفعتين </w:t>
      </w:r>
      <w:r w:rsidR="0086072B">
        <w:rPr>
          <w:rFonts w:hint="cs"/>
          <w:sz w:val="28"/>
          <w:szCs w:val="28"/>
          <w:rtl/>
          <w:lang w:bidi="ar-JO"/>
        </w:rPr>
        <w:t>كل ستة أ</w:t>
      </w:r>
      <w:r w:rsidRPr="00E96267">
        <w:rPr>
          <w:rFonts w:hint="cs"/>
          <w:sz w:val="28"/>
          <w:szCs w:val="28"/>
          <w:rtl/>
          <w:lang w:bidi="ar-JO"/>
        </w:rPr>
        <w:t>شهر.</w:t>
      </w:r>
    </w:p>
    <w:p w:rsidR="00260312" w:rsidRDefault="008408F1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أن تكون سيارة بك اب دبل كاب</w:t>
      </w:r>
      <w:r w:rsidR="00260312" w:rsidRPr="00E96267">
        <w:rPr>
          <w:rFonts w:hint="cs"/>
          <w:sz w:val="28"/>
          <w:szCs w:val="28"/>
          <w:rtl/>
          <w:lang w:bidi="ar-JO"/>
        </w:rPr>
        <w:t>ين دفع رباعي</w:t>
      </w:r>
      <w:r w:rsidR="00ED6D14" w:rsidRPr="00E96267">
        <w:rPr>
          <w:rFonts w:hint="cs"/>
          <w:sz w:val="28"/>
          <w:szCs w:val="28"/>
          <w:rtl/>
          <w:lang w:bidi="ar-JO"/>
        </w:rPr>
        <w:t xml:space="preserve"> مرخصة ومؤمنة تأميناً شاملاً</w:t>
      </w:r>
      <w:r w:rsidR="00260312" w:rsidRPr="00E96267">
        <w:rPr>
          <w:rFonts w:hint="cs"/>
          <w:sz w:val="28"/>
          <w:szCs w:val="28"/>
          <w:rtl/>
          <w:lang w:bidi="ar-JO"/>
        </w:rPr>
        <w:t xml:space="preserve"> ومجهزة بصندوق وكراسي وكندشن </w:t>
      </w:r>
      <w:r w:rsidR="00ED6D14" w:rsidRPr="00E96267">
        <w:rPr>
          <w:rFonts w:hint="cs"/>
          <w:sz w:val="28"/>
          <w:szCs w:val="28"/>
          <w:rtl/>
          <w:lang w:bidi="ar-JO"/>
        </w:rPr>
        <w:t>وتخضع للفحص الفني لبيان حالتها الميكانيكيه أصوليا</w:t>
      </w:r>
      <w:r w:rsidR="00260312" w:rsidRPr="00E96267">
        <w:rPr>
          <w:rFonts w:hint="cs"/>
          <w:sz w:val="28"/>
          <w:szCs w:val="28"/>
          <w:rtl/>
          <w:lang w:bidi="ar-JO"/>
        </w:rPr>
        <w:t xml:space="preserve"> ومطابقتها لشروط صفة الاستعمال.</w:t>
      </w:r>
    </w:p>
    <w:p w:rsidR="00E96267" w:rsidRPr="00E96267" w:rsidRDefault="00E96267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على المتقدم للعرض ارفاق رخصة اقتناء للمركبة سارية المفعول.</w:t>
      </w:r>
    </w:p>
    <w:p w:rsidR="00260312" w:rsidRPr="00E96267" w:rsidRDefault="0086072B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260312" w:rsidRPr="00E96267">
        <w:rPr>
          <w:rFonts w:hint="cs"/>
          <w:sz w:val="28"/>
          <w:szCs w:val="28"/>
          <w:rtl/>
          <w:lang w:bidi="ar-JO"/>
        </w:rPr>
        <w:t>توفير سائق يحمل رخصة قيادة حسب الأصول.</w:t>
      </w:r>
    </w:p>
    <w:p w:rsidR="001632B5" w:rsidRPr="00E96267" w:rsidRDefault="001632B5" w:rsidP="00AC5A0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>في حال تعطل المركبة على المناقص توفير سيارة بديلة</w:t>
      </w:r>
      <w:r w:rsidR="009A3CDC" w:rsidRPr="00E96267">
        <w:rPr>
          <w:rFonts w:hint="cs"/>
          <w:sz w:val="28"/>
          <w:szCs w:val="28"/>
          <w:rtl/>
          <w:lang w:bidi="ar-JO"/>
        </w:rPr>
        <w:t xml:space="preserve"> </w:t>
      </w:r>
      <w:r w:rsidR="00AC5A0B">
        <w:rPr>
          <w:rFonts w:hint="cs"/>
          <w:sz w:val="28"/>
          <w:szCs w:val="28"/>
          <w:rtl/>
          <w:lang w:bidi="ar-JO"/>
        </w:rPr>
        <w:t xml:space="preserve">مباشرة </w:t>
      </w:r>
      <w:r w:rsidR="00AC5A0B" w:rsidRPr="00E96267">
        <w:rPr>
          <w:rFonts w:hint="cs"/>
          <w:sz w:val="28"/>
          <w:szCs w:val="28"/>
          <w:rtl/>
          <w:lang w:bidi="ar-JO"/>
        </w:rPr>
        <w:t xml:space="preserve">من بدء توقفها عن العمل </w:t>
      </w:r>
      <w:r w:rsidR="009A3CDC" w:rsidRPr="00E96267">
        <w:rPr>
          <w:rFonts w:hint="cs"/>
          <w:sz w:val="28"/>
          <w:szCs w:val="28"/>
          <w:rtl/>
          <w:lang w:bidi="ar-JO"/>
        </w:rPr>
        <w:t>وبنفس المواصفات</w:t>
      </w:r>
      <w:r w:rsidRPr="00E96267">
        <w:rPr>
          <w:rFonts w:hint="cs"/>
          <w:sz w:val="28"/>
          <w:szCs w:val="28"/>
          <w:rtl/>
          <w:lang w:bidi="ar-JO"/>
        </w:rPr>
        <w:t xml:space="preserve"> وحسب الشروط المذكوره.</w:t>
      </w:r>
    </w:p>
    <w:p w:rsidR="001632B5" w:rsidRPr="00E96267" w:rsidRDefault="001632B5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>مدة المناقصة سنة واحده من تاريخ الاحالة.</w:t>
      </w:r>
    </w:p>
    <w:p w:rsidR="001632B5" w:rsidRPr="00E96267" w:rsidRDefault="001632B5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 xml:space="preserve">على المحال عليه العرض تقديم كفالة </w:t>
      </w:r>
      <w:r w:rsidR="00197783" w:rsidRPr="00E96267">
        <w:rPr>
          <w:rFonts w:hint="cs"/>
          <w:sz w:val="28"/>
          <w:szCs w:val="28"/>
          <w:rtl/>
          <w:lang w:bidi="ar-JO"/>
        </w:rPr>
        <w:t xml:space="preserve">او </w:t>
      </w:r>
      <w:r w:rsidRPr="00E96267">
        <w:rPr>
          <w:rFonts w:hint="cs"/>
          <w:sz w:val="28"/>
          <w:szCs w:val="28"/>
          <w:rtl/>
          <w:lang w:bidi="ar-JO"/>
        </w:rPr>
        <w:t>شيك مصدق بقيمة 10% من قيمة المبل</w:t>
      </w:r>
      <w:r w:rsidR="00197783" w:rsidRPr="00E96267">
        <w:rPr>
          <w:rFonts w:hint="cs"/>
          <w:sz w:val="28"/>
          <w:szCs w:val="28"/>
          <w:rtl/>
          <w:lang w:bidi="ar-JO"/>
        </w:rPr>
        <w:t>غ المقطوع</w:t>
      </w:r>
      <w:r w:rsidRPr="00E96267">
        <w:rPr>
          <w:rFonts w:hint="cs"/>
          <w:sz w:val="28"/>
          <w:szCs w:val="28"/>
          <w:rtl/>
          <w:lang w:bidi="ar-JO"/>
        </w:rPr>
        <w:t>.</w:t>
      </w:r>
    </w:p>
    <w:p w:rsidR="00197783" w:rsidRPr="00E96267" w:rsidRDefault="00197783" w:rsidP="008408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JO"/>
        </w:rPr>
      </w:pPr>
      <w:r w:rsidRPr="00E96267">
        <w:rPr>
          <w:rFonts w:hint="cs"/>
          <w:sz w:val="28"/>
          <w:szCs w:val="28"/>
          <w:rtl/>
          <w:lang w:bidi="ar-JO"/>
        </w:rPr>
        <w:t>يحق للسطلة الغاء الاستدراج دون ابداء الاسباب.</w:t>
      </w:r>
    </w:p>
    <w:p w:rsidR="001632B5" w:rsidRPr="00E96267" w:rsidRDefault="001632B5" w:rsidP="008408F1">
      <w:pPr>
        <w:pStyle w:val="ListParagraph"/>
        <w:jc w:val="both"/>
        <w:rPr>
          <w:sz w:val="28"/>
          <w:szCs w:val="28"/>
          <w:rtl/>
          <w:lang w:bidi="ar-JO"/>
        </w:rPr>
      </w:pPr>
    </w:p>
    <w:p w:rsidR="00260312" w:rsidRDefault="001632B5" w:rsidP="001632B5">
      <w:pPr>
        <w:pStyle w:val="ListParagraph"/>
        <w:jc w:val="center"/>
        <w:rPr>
          <w:b/>
          <w:bCs/>
          <w:sz w:val="32"/>
          <w:szCs w:val="32"/>
          <w:rtl/>
          <w:lang w:bidi="ar-JO"/>
        </w:rPr>
      </w:pPr>
      <w:r w:rsidRPr="001632B5">
        <w:rPr>
          <w:rFonts w:hint="cs"/>
          <w:b/>
          <w:bCs/>
          <w:sz w:val="32"/>
          <w:szCs w:val="32"/>
          <w:rtl/>
          <w:lang w:bidi="ar-JO"/>
        </w:rPr>
        <w:t>وأقبلوا الاحترام،،،</w:t>
      </w:r>
    </w:p>
    <w:p w:rsidR="001632B5" w:rsidRDefault="001632B5" w:rsidP="001632B5">
      <w:pPr>
        <w:pStyle w:val="ListParagraph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رئيس مجلس المفوضين</w:t>
      </w:r>
    </w:p>
    <w:p w:rsidR="001632B5" w:rsidRDefault="001632B5" w:rsidP="001632B5">
      <w:pPr>
        <w:pStyle w:val="ListParagraph"/>
        <w:jc w:val="right"/>
        <w:rPr>
          <w:b/>
          <w:bCs/>
          <w:sz w:val="32"/>
          <w:szCs w:val="32"/>
          <w:rtl/>
          <w:lang w:bidi="ar-JO"/>
        </w:rPr>
      </w:pPr>
    </w:p>
    <w:p w:rsidR="001632B5" w:rsidRPr="001632B5" w:rsidRDefault="001632B5" w:rsidP="001632B5">
      <w:pPr>
        <w:pStyle w:val="ListParagraph"/>
        <w:jc w:val="right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أ.د محمد عباس النوافله</w:t>
      </w:r>
    </w:p>
    <w:sectPr w:rsidR="001632B5" w:rsidRPr="001632B5" w:rsidSect="0086072B">
      <w:pgSz w:w="11906" w:h="16838"/>
      <w:pgMar w:top="142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275"/>
    <w:multiLevelType w:val="hybridMultilevel"/>
    <w:tmpl w:val="1910F0E6"/>
    <w:lvl w:ilvl="0" w:tplc="24F04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2"/>
    <w:rsid w:val="001632B5"/>
    <w:rsid w:val="00197783"/>
    <w:rsid w:val="00257987"/>
    <w:rsid w:val="00260312"/>
    <w:rsid w:val="00351DC4"/>
    <w:rsid w:val="005004A7"/>
    <w:rsid w:val="00594692"/>
    <w:rsid w:val="00787E2D"/>
    <w:rsid w:val="007B53C2"/>
    <w:rsid w:val="008408F1"/>
    <w:rsid w:val="0086072B"/>
    <w:rsid w:val="00911E53"/>
    <w:rsid w:val="009A3CDC"/>
    <w:rsid w:val="00AC5A0B"/>
    <w:rsid w:val="00BB6F4F"/>
    <w:rsid w:val="00D60FD0"/>
    <w:rsid w:val="00E96267"/>
    <w:rsid w:val="00ED6D14"/>
    <w:rsid w:val="00F145E2"/>
    <w:rsid w:val="00F21582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A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A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2C7-E0AB-42B6-A006-FC5D24A4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barakat nawafleh</dc:creator>
  <cp:lastModifiedBy>Rasha a. Farajat</cp:lastModifiedBy>
  <cp:revision>2</cp:revision>
  <cp:lastPrinted>2017-05-04T06:04:00Z</cp:lastPrinted>
  <dcterms:created xsi:type="dcterms:W3CDTF">2017-05-04T07:27:00Z</dcterms:created>
  <dcterms:modified xsi:type="dcterms:W3CDTF">2017-05-04T07:27:00Z</dcterms:modified>
</cp:coreProperties>
</file>